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CA" w:rsidRPr="008E3ECA" w:rsidRDefault="008E3ECA" w:rsidP="008E3ECA">
      <w:pPr>
        <w:spacing w:before="120" w:after="0" w:line="360" w:lineRule="exact"/>
        <w:ind w:firstLine="540"/>
        <w:jc w:val="both"/>
        <w:rPr>
          <w:rFonts w:ascii="Times New Roman" w:eastAsia="Arial" w:hAnsi="Times New Roman" w:cs="Times New Roman"/>
          <w:b/>
          <w:sz w:val="28"/>
          <w:szCs w:val="28"/>
          <w:lang w:val="nl-NL"/>
        </w:rPr>
      </w:pPr>
      <w:r w:rsidRPr="008E3ECA">
        <w:rPr>
          <w:rFonts w:ascii="Times New Roman" w:eastAsia="Arial" w:hAnsi="Times New Roman" w:cs="Times New Roman"/>
          <w:b/>
          <w:sz w:val="28"/>
          <w:szCs w:val="28"/>
          <w:lang w:val="nl-NL"/>
        </w:rPr>
        <w:t>9. Thủ tục: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rsidR="008E3ECA" w:rsidRPr="008E3ECA" w:rsidRDefault="008E3ECA" w:rsidP="008E3ECA">
      <w:pPr>
        <w:spacing w:before="120" w:after="0" w:line="360" w:lineRule="exact"/>
        <w:ind w:firstLine="540"/>
        <w:jc w:val="both"/>
        <w:rPr>
          <w:rFonts w:ascii="Times New Roman" w:eastAsia="Calibri" w:hAnsi="Times New Roman" w:cs="Times New Roman"/>
          <w:b/>
          <w:sz w:val="28"/>
          <w:szCs w:val="28"/>
          <w:lang w:val="nl-NL"/>
        </w:rPr>
      </w:pPr>
      <w:r w:rsidRPr="008E3ECA">
        <w:rPr>
          <w:rFonts w:ascii="Times New Roman" w:eastAsia="Times New Roman" w:hAnsi="Times New Roman" w:cs="Times New Roman"/>
          <w:b/>
          <w:sz w:val="28"/>
          <w:szCs w:val="28"/>
          <w:lang w:val="nl-NL"/>
        </w:rPr>
        <w:t>a) Trình tự thực hiện</w:t>
      </w:r>
      <w:r w:rsidRPr="008E3ECA">
        <w:rPr>
          <w:rFonts w:ascii="Times New Roman" w:eastAsia="Times New Roman" w:hAnsi="Times New Roman" w:cs="Times New Roman"/>
          <w:b/>
          <w:sz w:val="28"/>
          <w:szCs w:val="28"/>
          <w:highlight w:val="yellow"/>
          <w:lang w:val="nl-NL"/>
        </w:rPr>
        <w:t xml:space="preserve"> </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(1)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 Sáng từ 7 giờ 30 phút đến 11 giờ 30 phút</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 Chiều từ 13 giờ 30 phút đến 17 giờ 00 phút.</w:t>
      </w:r>
    </w:p>
    <w:p w:rsidR="008E3ECA" w:rsidRPr="008E3ECA" w:rsidRDefault="008E3ECA" w:rsidP="008E3ECA">
      <w:pPr>
        <w:autoSpaceDE w:val="0"/>
        <w:autoSpaceDN w:val="0"/>
        <w:spacing w:before="80" w:after="0" w:line="320"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Trường hợp thực hiện quyền của người sử dụng đất đối với một phần thửa đất thì người sử dụng đất đề nghị Văn phòng đăng ký đất</w:t>
      </w:r>
      <w:r w:rsidRPr="008E3ECA">
        <w:rPr>
          <w:rFonts w:ascii="Times New Roman" w:eastAsia="Times New Roman" w:hAnsi="Times New Roman" w:cs="Times New Roman"/>
          <w:sz w:val="28"/>
          <w:szCs w:val="28"/>
          <w:lang w:val="nl-NL"/>
        </w:rPr>
        <w:t xml:space="preserve"> đai</w:t>
      </w:r>
      <w:r w:rsidRPr="008E3ECA">
        <w:rPr>
          <w:rFonts w:ascii="Times New Roman" w:eastAsia="Times New Roman" w:hAnsi="Times New Roman" w:cs="Times New Roman"/>
          <w:bCs/>
          <w:sz w:val="28"/>
          <w:szCs w:val="28"/>
          <w:lang w:val="nl-NL"/>
        </w:rPr>
        <w:t xml:space="preserve"> thực hiện đo đạc tách thửa đối với phần diện tích cần thực hiện quyền của người sử dụng đất trước khi nộp hồ sơ </w:t>
      </w:r>
      <w:r w:rsidRPr="008E3ECA">
        <w:rPr>
          <w:rFonts w:ascii="Times New Roman" w:eastAsia="Times New Roman" w:hAnsi="Times New Roman" w:cs="Times New Roman"/>
          <w:sz w:val="28"/>
          <w:szCs w:val="28"/>
          <w:lang w:val="nl-NL"/>
        </w:rPr>
        <w:t xml:space="preserve">thực hiện quyền </w:t>
      </w:r>
      <w:r w:rsidRPr="008E3ECA">
        <w:rPr>
          <w:rFonts w:ascii="Times New Roman" w:eastAsia="Times New Roman" w:hAnsi="Times New Roman" w:cs="Times New Roman"/>
          <w:bCs/>
          <w:sz w:val="28"/>
          <w:szCs w:val="28"/>
          <w:lang w:val="nl-NL"/>
        </w:rPr>
        <w:t xml:space="preserve">của người </w:t>
      </w:r>
      <w:r w:rsidRPr="008E3ECA">
        <w:rPr>
          <w:rFonts w:ascii="Times New Roman" w:eastAsia="Times New Roman" w:hAnsi="Times New Roman" w:cs="Times New Roman"/>
          <w:sz w:val="28"/>
          <w:szCs w:val="28"/>
          <w:lang w:val="nl-NL"/>
        </w:rPr>
        <w:t>sử dụng đất</w:t>
      </w:r>
      <w:r w:rsidRPr="008E3ECA">
        <w:rPr>
          <w:rFonts w:ascii="Times New Roman" w:eastAsia="Times New Roman" w:hAnsi="Times New Roman" w:cs="Times New Roman"/>
          <w:bCs/>
          <w:sz w:val="28"/>
          <w:szCs w:val="28"/>
          <w:lang w:val="nl-NL"/>
        </w:rPr>
        <w:t>.</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pacing w:val="-6"/>
          <w:sz w:val="28"/>
          <w:szCs w:val="28"/>
          <w:lang w:val="nl-NL"/>
        </w:rPr>
      </w:pPr>
      <w:r w:rsidRPr="008E3ECA">
        <w:rPr>
          <w:rFonts w:ascii="Times New Roman" w:eastAsia="Times New Roman" w:hAnsi="Times New Roman" w:cs="Times New Roman"/>
          <w:sz w:val="28"/>
          <w:szCs w:val="28"/>
          <w:lang w:val="nl-NL"/>
        </w:rPr>
        <w:t xml:space="preserve">(3) </w:t>
      </w:r>
      <w:r w:rsidRPr="008E3ECA">
        <w:rPr>
          <w:rFonts w:ascii="Times New Roman" w:eastAsia="Times New Roman" w:hAnsi="Times New Roman" w:cs="Times New Roman"/>
          <w:spacing w:val="-6"/>
          <w:sz w:val="28"/>
          <w:szCs w:val="28"/>
          <w:lang w:val="nl-NL"/>
        </w:rPr>
        <w:t>Văn phòng đăng ký đất đai</w:t>
      </w:r>
      <w:r w:rsidRPr="008E3ECA">
        <w:rPr>
          <w:rFonts w:ascii="Times New Roman" w:eastAsia="Times New Roman" w:hAnsi="Times New Roman" w:cs="Times New Roman"/>
          <w:bCs/>
          <w:spacing w:val="-6"/>
          <w:sz w:val="28"/>
          <w:szCs w:val="28"/>
          <w:lang w:val="nl-NL"/>
        </w:rPr>
        <w:t xml:space="preserve"> </w:t>
      </w:r>
      <w:r w:rsidRPr="008E3ECA">
        <w:rPr>
          <w:rFonts w:ascii="Times New Roman" w:eastAsia="Times New Roman" w:hAnsi="Times New Roman" w:cs="Times New Roman"/>
          <w:spacing w:val="-6"/>
          <w:sz w:val="28"/>
          <w:szCs w:val="28"/>
          <w:lang w:val="nl-NL"/>
        </w:rPr>
        <w:t>có trách nhiệm kiểm tra hồ sơ, nếu đủ điều kiện thực hiện các quyền theo quy định thì thực hiện các công việc sau đây:</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pacing w:val="4"/>
          <w:sz w:val="28"/>
          <w:szCs w:val="28"/>
          <w:lang w:val="nl-NL"/>
        </w:rPr>
      </w:pPr>
      <w:r w:rsidRPr="008E3ECA">
        <w:rPr>
          <w:rFonts w:ascii="Times New Roman" w:eastAsia="Times New Roman" w:hAnsi="Times New Roman" w:cs="Times New Roman"/>
          <w:spacing w:val="4"/>
          <w:sz w:val="28"/>
          <w:szCs w:val="28"/>
          <w:lang w:val="nl-NL"/>
        </w:rPr>
        <w:lastRenderedPageBreak/>
        <w:t>- Gửi thông tin địa chính đến cơ quan thuế để xác định và thông báo thu nghĩa vụ tài chính đối với trường hợp phải thực hiện nghĩa vụ tài chính theo quy định;</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sz w:val="28"/>
          <w:szCs w:val="28"/>
          <w:lang w:val="nl-NL"/>
        </w:rPr>
        <w:t xml:space="preserve">- Xác nhận nội dung biến động </w:t>
      </w:r>
      <w:r w:rsidRPr="008E3ECA">
        <w:rPr>
          <w:rFonts w:ascii="Times New Roman" w:eastAsia="Times New Roman" w:hAnsi="Times New Roman" w:cs="Times New Roman"/>
          <w:bCs/>
          <w:sz w:val="28"/>
          <w:szCs w:val="28"/>
          <w:lang w:val="nl-NL"/>
        </w:rPr>
        <w:t xml:space="preserve">vào Giấy chứng nhận </w:t>
      </w:r>
      <w:r w:rsidRPr="008E3ECA">
        <w:rPr>
          <w:rFonts w:ascii="Times New Roman" w:eastAsia="Times New Roman" w:hAnsi="Times New Roman" w:cs="Times New Roman"/>
          <w:sz w:val="28"/>
          <w:szCs w:val="28"/>
          <w:lang w:val="nl-NL"/>
        </w:rPr>
        <w:t>đã cấp.</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Trường hợp phải cấp Giấy chứng nhận thì lập hồ sơ trình cơ quan có thẩm quyền cấp Giấy chứng nhận cho người sử dụng đất.</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Chỉnh lý, cập nhật biến động vào hồ sơ địa chính, cơ sở dữ liệu đất đai.</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Trao Giấy chứng nhận cho người sử dụng đất hoặc gửi Ủy ban nhân dân cấp xã để trao đối với trường hợp nộp hồ sơ tại cấp xã.</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 xml:space="preserve"> (4) Người được cấp Giấy chứng nhận nhân lại bản chính giấy tờ đã được xác nhận cấp Giấy chứng nhận và Giấy chứng nhận.</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pacing w:val="2"/>
          <w:sz w:val="28"/>
          <w:szCs w:val="28"/>
          <w:lang w:val="nl-NL"/>
        </w:rPr>
      </w:pPr>
      <w:r w:rsidRPr="008E3ECA">
        <w:rPr>
          <w:rFonts w:ascii="Times New Roman" w:eastAsia="Times New Roman" w:hAnsi="Times New Roman" w:cs="Times New Roman"/>
          <w:spacing w:val="2"/>
          <w:sz w:val="28"/>
          <w:szCs w:val="28"/>
          <w:lang w:val="nl-NL"/>
        </w:rPr>
        <w:t>* Trường hợp người sử dụng đất tặng cho quyền sử dụng đất để xây dựng công trình công cộng thì phải lập văn bản tặng cho quyền sử dụng đất theo quy định.</w:t>
      </w:r>
    </w:p>
    <w:p w:rsidR="008E3ECA" w:rsidRPr="008E3ECA" w:rsidRDefault="008E3ECA" w:rsidP="008E3ECA">
      <w:pPr>
        <w:widowControl w:val="0"/>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b) Cách thức thực hiện</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(1) Đối với tổ chức nộp tại Bộ phận tiếp nhận và trả kết quả thuộc Trung tâm dịch vụ hành chính công tỉnh Hà Giang tại địa chỉ: Tổ 5, phường Nguyễn Trãi, thành phố Hà Giang, tỉnh Hà Giang.</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lastRenderedPageBreak/>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8E3ECA" w:rsidRPr="008E3ECA" w:rsidRDefault="008E3ECA" w:rsidP="008E3EC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8E3ECA">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8E3ECA" w:rsidRPr="008E3ECA" w:rsidRDefault="008E3ECA" w:rsidP="008E3ECA">
      <w:pPr>
        <w:spacing w:before="80" w:after="0" w:line="320" w:lineRule="exact"/>
        <w:ind w:firstLine="540"/>
        <w:jc w:val="both"/>
        <w:rPr>
          <w:rFonts w:ascii="Times New Roman" w:eastAsia="Times New Roman" w:hAnsi="Times New Roman" w:cs="Times New Roman"/>
          <w:b/>
          <w:sz w:val="28"/>
          <w:szCs w:val="28"/>
          <w:lang w:val="nl-NL"/>
        </w:rPr>
      </w:pPr>
      <w:r w:rsidRPr="008E3ECA">
        <w:rPr>
          <w:rFonts w:ascii="Times New Roman" w:eastAsia="Times New Roman" w:hAnsi="Times New Roman" w:cs="Times New Roman"/>
          <w:b/>
          <w:sz w:val="28"/>
          <w:szCs w:val="28"/>
          <w:lang w:val="nl-NL"/>
        </w:rPr>
        <w:t>c) Thành phần, số lượng hồ sơ</w:t>
      </w:r>
    </w:p>
    <w:p w:rsidR="008E3ECA" w:rsidRPr="008E3ECA" w:rsidRDefault="008E3ECA" w:rsidP="008E3ECA">
      <w:pPr>
        <w:spacing w:before="80" w:after="0" w:line="320" w:lineRule="exact"/>
        <w:ind w:firstLine="540"/>
        <w:jc w:val="both"/>
        <w:rPr>
          <w:rFonts w:ascii="Times New Roman" w:eastAsia="Times New Roman" w:hAnsi="Times New Roman" w:cs="Times New Roman"/>
          <w:b/>
          <w:sz w:val="28"/>
          <w:szCs w:val="28"/>
          <w:lang w:val="nl-NL"/>
        </w:rPr>
      </w:pPr>
      <w:r w:rsidRPr="008E3ECA">
        <w:rPr>
          <w:rFonts w:ascii="Times New Roman" w:eastAsia="Times New Roman" w:hAnsi="Times New Roman" w:cs="Times New Roman"/>
          <w:b/>
          <w:sz w:val="28"/>
          <w:szCs w:val="28"/>
          <w:lang w:val="nl-NL"/>
        </w:rPr>
        <w:t>* Thành phần hồ sơ bao gồm:</w:t>
      </w:r>
    </w:p>
    <w:p w:rsidR="008E3ECA" w:rsidRPr="008E3ECA" w:rsidRDefault="008E3ECA" w:rsidP="008E3ECA">
      <w:pPr>
        <w:widowControl w:val="0"/>
        <w:tabs>
          <w:tab w:val="num" w:pos="567"/>
        </w:tabs>
        <w:spacing w:before="80" w:after="0" w:line="374"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8E3ECA" w:rsidRPr="008E3ECA" w:rsidRDefault="008E3ECA" w:rsidP="008E3ECA">
      <w:pPr>
        <w:widowControl w:val="0"/>
        <w:tabs>
          <w:tab w:val="num" w:pos="567"/>
        </w:tabs>
        <w:spacing w:before="80" w:after="0" w:line="374"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 xml:space="preserve">Trường hợp </w:t>
      </w:r>
      <w:r w:rsidRPr="008E3ECA">
        <w:rPr>
          <w:rFonts w:ascii="Times New Roman" w:eastAsia="Times New Roman" w:hAnsi="Times New Roman" w:cs="Times New Roman"/>
          <w:sz w:val="28"/>
          <w:szCs w:val="28"/>
          <w:lang w:val="nl-NL"/>
        </w:rPr>
        <w:t xml:space="preserve">người thừa kế </w:t>
      </w:r>
      <w:r w:rsidRPr="008E3ECA">
        <w:rPr>
          <w:rFonts w:ascii="Times New Roman" w:eastAsia="Times New Roman" w:hAnsi="Times New Roman" w:cs="Times New Roman"/>
          <w:bCs/>
          <w:sz w:val="28"/>
          <w:szCs w:val="28"/>
          <w:lang w:val="nl-NL"/>
        </w:rPr>
        <w:t>quyền sử dụng đất, quyền sở hữu tài sản gắn liền với đất</w:t>
      </w:r>
      <w:r w:rsidRPr="008E3ECA">
        <w:rPr>
          <w:rFonts w:ascii="Times New Roman" w:eastAsia="Times New Roman" w:hAnsi="Times New Roman" w:cs="Times New Roman"/>
          <w:sz w:val="28"/>
          <w:szCs w:val="28"/>
          <w:lang w:val="nl-NL"/>
        </w:rPr>
        <w:t xml:space="preserve"> là người duy nhất thì phải có đơn đề nghị được đăng ký thừa kế </w:t>
      </w:r>
      <w:r w:rsidRPr="008E3ECA">
        <w:rPr>
          <w:rFonts w:ascii="Times New Roman" w:eastAsia="Times New Roman" w:hAnsi="Times New Roman" w:cs="Times New Roman"/>
          <w:bCs/>
          <w:sz w:val="28"/>
          <w:szCs w:val="28"/>
          <w:lang w:val="nl-NL"/>
        </w:rPr>
        <w:t>quyền sử dụng đất, quyền sở hữu tài sản gắn liền với đất</w:t>
      </w:r>
      <w:r w:rsidRPr="008E3ECA">
        <w:rPr>
          <w:rFonts w:ascii="Times New Roman" w:eastAsia="Times New Roman" w:hAnsi="Times New Roman" w:cs="Times New Roman"/>
          <w:sz w:val="28"/>
          <w:szCs w:val="28"/>
          <w:lang w:val="nl-NL"/>
        </w:rPr>
        <w:t xml:space="preserve"> của người thừa kế;</w:t>
      </w:r>
    </w:p>
    <w:p w:rsidR="008E3ECA" w:rsidRPr="008E3ECA" w:rsidRDefault="008E3ECA" w:rsidP="008E3ECA">
      <w:pPr>
        <w:widowControl w:val="0"/>
        <w:tabs>
          <w:tab w:val="num" w:pos="567"/>
        </w:tabs>
        <w:spacing w:before="80" w:after="0" w:line="374"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 Bản gốc Giấy chứng nhận</w:t>
      </w:r>
      <w:r w:rsidRPr="008E3ECA">
        <w:rPr>
          <w:rFonts w:ascii="Times New Roman" w:eastAsia="Times New Roman" w:hAnsi="Times New Roman" w:cs="Times New Roman"/>
          <w:bCs/>
          <w:sz w:val="28"/>
          <w:szCs w:val="28"/>
          <w:lang w:val="nl-NL" w:eastAsia="zh-CN"/>
        </w:rPr>
        <w:t xml:space="preserve"> </w:t>
      </w:r>
      <w:r w:rsidRPr="008E3ECA">
        <w:rPr>
          <w:rFonts w:ascii="Times New Roman" w:eastAsia="Times New Roman" w:hAnsi="Times New Roman" w:cs="Times New Roman"/>
          <w:bCs/>
          <w:sz w:val="28"/>
          <w:szCs w:val="28"/>
          <w:lang w:val="nl-NL"/>
        </w:rPr>
        <w:t>đã cấp;</w:t>
      </w:r>
    </w:p>
    <w:p w:rsidR="008E3ECA" w:rsidRPr="008E3ECA" w:rsidRDefault="008E3ECA" w:rsidP="008E3ECA">
      <w:pPr>
        <w:widowControl w:val="0"/>
        <w:tabs>
          <w:tab w:val="num" w:pos="567"/>
        </w:tabs>
        <w:spacing w:before="80" w:after="0" w:line="374" w:lineRule="exact"/>
        <w:ind w:firstLine="540"/>
        <w:jc w:val="both"/>
        <w:rPr>
          <w:rFonts w:ascii="Times New Roman" w:eastAsia="Times New Roman" w:hAnsi="Times New Roman" w:cs="Times New Roman"/>
          <w:bCs/>
          <w:sz w:val="28"/>
          <w:szCs w:val="28"/>
          <w:lang w:val="nl-NL"/>
        </w:rPr>
      </w:pPr>
      <w:r w:rsidRPr="008E3ECA">
        <w:rPr>
          <w:rFonts w:ascii="Times New Roman" w:eastAsia="Times New Roman" w:hAnsi="Times New Roman" w:cs="Times New Roman"/>
          <w:bCs/>
          <w:sz w:val="28"/>
          <w:szCs w:val="28"/>
          <w:lang w:val="nl-NL"/>
        </w:rPr>
        <w:t>- Văn bản chấp thuận của cơ quan Nhà nước có thẩm quyền đối với tổ chức kinh tế nhận chuyển nhượng, nhận góp vốn, thuê quyền sử dụng đất nông nghiệp để thực hiện dự án đầu tư;</w:t>
      </w:r>
    </w:p>
    <w:p w:rsidR="008E3ECA" w:rsidRPr="008E3ECA" w:rsidRDefault="008E3ECA" w:rsidP="008E3ECA">
      <w:pPr>
        <w:widowControl w:val="0"/>
        <w:tabs>
          <w:tab w:val="num" w:pos="567"/>
        </w:tabs>
        <w:spacing w:before="80" w:after="0" w:line="374" w:lineRule="exact"/>
        <w:ind w:firstLine="540"/>
        <w:jc w:val="both"/>
        <w:rPr>
          <w:rFonts w:ascii="Times New Roman" w:eastAsia="Times New Roman" w:hAnsi="Times New Roman" w:cs="Times New Roman"/>
          <w:bCs/>
          <w:spacing w:val="-2"/>
          <w:sz w:val="28"/>
          <w:szCs w:val="28"/>
          <w:lang w:val="nl-NL"/>
        </w:rPr>
      </w:pPr>
      <w:r w:rsidRPr="008E3ECA">
        <w:rPr>
          <w:rFonts w:ascii="Times New Roman" w:eastAsia="Times New Roman" w:hAnsi="Times New Roman" w:cs="Times New Roman"/>
          <w:bCs/>
          <w:spacing w:val="-2"/>
          <w:sz w:val="28"/>
          <w:szCs w:val="28"/>
          <w:lang w:val="nl-NL"/>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8E3ECA" w:rsidRPr="008E3ECA" w:rsidRDefault="008E3ECA" w:rsidP="008E3ECA">
      <w:pPr>
        <w:widowControl w:val="0"/>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8E3ECA" w:rsidRPr="008E3ECA" w:rsidRDefault="008E3ECA" w:rsidP="008E3ECA">
      <w:pPr>
        <w:widowControl w:val="0"/>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Văn bản của các thành viên trong hộ gia đình sử dụng đất đồng ý chuyển quyền sử dụng đất của hộ gia đình đã được công chứng hoặc chứng thực theo quy định của pháp luật. </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 Số lượng hồ sơ:</w:t>
      </w:r>
      <w:r w:rsidRPr="008E3ECA">
        <w:rPr>
          <w:rFonts w:ascii="Times New Roman" w:eastAsia="Times New Roman" w:hAnsi="Times New Roman" w:cs="Times New Roman"/>
          <w:sz w:val="28"/>
          <w:szCs w:val="28"/>
          <w:lang w:val="nl-NL"/>
        </w:rPr>
        <w:t xml:space="preserve"> 1 bộ</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d) Thời hạn giải quyết</w:t>
      </w:r>
    </w:p>
    <w:p w:rsidR="008E3ECA" w:rsidRPr="008E3ECA" w:rsidRDefault="008E3ECA" w:rsidP="008E3ECA">
      <w:pPr>
        <w:spacing w:before="80" w:after="0" w:line="374" w:lineRule="exact"/>
        <w:ind w:firstLine="540"/>
        <w:jc w:val="both"/>
        <w:rPr>
          <w:rFonts w:ascii="Times New Roman" w:eastAsia="Times New Roman" w:hAnsi="Times New Roman" w:cs="Times New Roman"/>
          <w:color w:val="000000"/>
          <w:sz w:val="28"/>
          <w:szCs w:val="28"/>
          <w:lang w:val="nl-NL"/>
        </w:rPr>
      </w:pPr>
      <w:r w:rsidRPr="008E3ECA">
        <w:rPr>
          <w:rFonts w:ascii="Times New Roman" w:eastAsia="Times New Roman" w:hAnsi="Times New Roman" w:cs="Times New Roman"/>
          <w:color w:val="000000"/>
          <w:sz w:val="28"/>
          <w:szCs w:val="28"/>
          <w:lang w:val="nl-NL"/>
        </w:rPr>
        <w:lastRenderedPageBreak/>
        <w:t xml:space="preserve">07 ngày làm việc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cấu giám định </w:t>
      </w:r>
    </w:p>
    <w:p w:rsidR="008E3ECA" w:rsidRPr="008E3ECA" w:rsidRDefault="008E3ECA" w:rsidP="008E3ECA">
      <w:pPr>
        <w:widowControl w:val="0"/>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8E3ECA" w:rsidRPr="008E3ECA" w:rsidRDefault="008E3ECA" w:rsidP="008E3ECA">
      <w:pPr>
        <w:widowControl w:val="0"/>
        <w:spacing w:before="80" w:after="0" w:line="374" w:lineRule="exact"/>
        <w:ind w:firstLine="540"/>
        <w:jc w:val="both"/>
        <w:rPr>
          <w:rFonts w:ascii="Times New Roman" w:eastAsia="Times New Roman" w:hAnsi="Times New Roman" w:cs="Times New Roman"/>
          <w:spacing w:val="-4"/>
          <w:sz w:val="28"/>
          <w:szCs w:val="28"/>
          <w:lang w:val="nl-NL"/>
        </w:rPr>
      </w:pPr>
      <w:r w:rsidRPr="008E3ECA">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đ) Đối tượng thực hiện thủ tục hành chính</w:t>
      </w:r>
    </w:p>
    <w:p w:rsidR="008E3ECA" w:rsidRPr="008E3ECA" w:rsidRDefault="008E3ECA" w:rsidP="008E3ECA">
      <w:pPr>
        <w:spacing w:before="80" w:after="0" w:line="374" w:lineRule="exact"/>
        <w:ind w:firstLine="540"/>
        <w:jc w:val="both"/>
        <w:rPr>
          <w:rFonts w:ascii="Times New Roman" w:eastAsia="Arial" w:hAnsi="Times New Roman" w:cs="Times New Roman"/>
          <w:sz w:val="28"/>
          <w:szCs w:val="28"/>
          <w:lang w:val="nl-NL"/>
        </w:rPr>
      </w:pPr>
      <w:r w:rsidRPr="008E3ECA">
        <w:rPr>
          <w:rFonts w:ascii="Times New Roman" w:eastAsia="Times New Roman" w:hAnsi="Times New Roman" w:cs="Times New Roman"/>
          <w:sz w:val="28"/>
          <w:szCs w:val="28"/>
          <w:lang w:val="nl-NL"/>
        </w:rPr>
        <w:t xml:space="preserve">- </w:t>
      </w:r>
      <w:r w:rsidRPr="008E3ECA">
        <w:rPr>
          <w:rFonts w:ascii="Times New Roman" w:eastAsia="Arial" w:hAnsi="Times New Roman" w:cs="Times New Roman"/>
          <w:sz w:val="28"/>
          <w:szCs w:val="28"/>
          <w:lang w:val="nl-NL"/>
        </w:rPr>
        <w:t>Tổ chức trong nước, người Việt Nam định cư ở nước ngoài thực hiện dự án đầu tư, tổ chức nước ngoài, cá nhân nước ngoài, doanh nghiệp có vốn đầu tư nước ngoài thực hiện dự án đầu tư.</w:t>
      </w:r>
    </w:p>
    <w:p w:rsidR="008E3ECA" w:rsidRPr="008E3ECA" w:rsidRDefault="008E3ECA" w:rsidP="008E3ECA">
      <w:pPr>
        <w:spacing w:before="80" w:after="0" w:line="374" w:lineRule="exact"/>
        <w:ind w:firstLine="540"/>
        <w:jc w:val="both"/>
        <w:rPr>
          <w:rFonts w:ascii="Times New Roman" w:eastAsia="Calibri" w:hAnsi="Times New Roman" w:cs="Times New Roman"/>
          <w:sz w:val="28"/>
          <w:szCs w:val="28"/>
          <w:lang w:val="nl-NL"/>
        </w:rPr>
      </w:pPr>
      <w:r w:rsidRPr="008E3ECA">
        <w:rPr>
          <w:rFonts w:ascii="Times New Roman" w:eastAsia="Times New Roman" w:hAnsi="Times New Roman" w:cs="Times New Roman"/>
          <w:sz w:val="28"/>
          <w:szCs w:val="28"/>
          <w:lang w:val="nl-NL"/>
        </w:rPr>
        <w:t>- H</w:t>
      </w:r>
      <w:r w:rsidRPr="008E3ECA">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e) Cơ quan thực hiện thủ tục hành chính</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Cơ quan có thẩm quyền quyết định: </w:t>
      </w:r>
    </w:p>
    <w:p w:rsidR="008E3ECA" w:rsidRPr="008E3ECA" w:rsidRDefault="008E3ECA" w:rsidP="008E3ECA">
      <w:pPr>
        <w:spacing w:before="80" w:after="0" w:line="374" w:lineRule="exact"/>
        <w:ind w:firstLine="540"/>
        <w:jc w:val="both"/>
        <w:rPr>
          <w:rFonts w:ascii="Times New Roman" w:eastAsia="Times New Roman" w:hAnsi="Times New Roman" w:cs="Times New Roman"/>
          <w:spacing w:val="-2"/>
          <w:sz w:val="28"/>
          <w:szCs w:val="28"/>
          <w:lang w:val="nl-NL"/>
        </w:rPr>
      </w:pPr>
      <w:r w:rsidRPr="008E3ECA">
        <w:rPr>
          <w:rFonts w:ascii="Times New Roman" w:eastAsia="Times New Roman" w:hAnsi="Times New Roman" w:cs="Times New Roman"/>
          <w:sz w:val="28"/>
          <w:szCs w:val="28"/>
          <w:lang w:val="nl-NL"/>
        </w:rPr>
        <w:t xml:space="preserve">+ </w:t>
      </w:r>
      <w:r w:rsidRPr="008E3ECA">
        <w:rPr>
          <w:rFonts w:ascii="Times New Roman" w:eastAsia="Times New Roman" w:hAnsi="Times New Roman" w:cs="Times New Roman"/>
          <w:spacing w:val="-2"/>
          <w:sz w:val="28"/>
          <w:szCs w:val="28"/>
          <w:lang w:val="nl-NL"/>
        </w:rPr>
        <w:t>Sở Tài nguyên và Môi trường đối với trường hợp cấp mới Giấy chứng nhận.</w:t>
      </w:r>
    </w:p>
    <w:p w:rsidR="008E3ECA" w:rsidRPr="008E3ECA" w:rsidRDefault="008E3ECA" w:rsidP="008E3ECA">
      <w:pPr>
        <w:spacing w:before="80" w:after="0" w:line="374" w:lineRule="exact"/>
        <w:ind w:firstLine="540"/>
        <w:jc w:val="both"/>
        <w:rPr>
          <w:rFonts w:ascii="Times New Roman" w:eastAsia="Times New Roman" w:hAnsi="Times New Roman" w:cs="Times New Roman"/>
          <w:spacing w:val="-2"/>
          <w:sz w:val="28"/>
          <w:szCs w:val="28"/>
          <w:lang w:val="nl-NL"/>
        </w:rPr>
      </w:pPr>
      <w:r w:rsidRPr="008E3ECA">
        <w:rPr>
          <w:rFonts w:ascii="Times New Roman" w:eastAsia="Times New Roman" w:hAnsi="Times New Roman" w:cs="Times New Roman"/>
          <w:spacing w:val="-2"/>
          <w:sz w:val="28"/>
          <w:szCs w:val="28"/>
          <w:lang w:val="nl-NL"/>
        </w:rPr>
        <w:t>+</w:t>
      </w:r>
      <w:r w:rsidRPr="008E3ECA">
        <w:rPr>
          <w:rFonts w:ascii="Times New Roman" w:eastAsia="Times New Roman" w:hAnsi="Times New Roman" w:cs="Times New Roman"/>
          <w:sz w:val="28"/>
          <w:szCs w:val="28"/>
          <w:lang w:val="nl-NL"/>
        </w:rPr>
        <w:t xml:space="preserve"> Văn phòng đăng ký đất đai hoặc Chi nhánh Văn phòng đăng ký đất đai</w:t>
      </w:r>
      <w:r w:rsidRPr="008E3ECA">
        <w:rPr>
          <w:rFonts w:ascii="Times New Roman" w:eastAsia="Times New Roman" w:hAnsi="Times New Roman" w:cs="Times New Roman"/>
          <w:spacing w:val="-2"/>
          <w:sz w:val="28"/>
          <w:szCs w:val="28"/>
          <w:lang w:val="nl-NL"/>
        </w:rPr>
        <w:t xml:space="preserve"> đối với trường hợp xác nhận thay đổi trên Giấy chứng nhận.</w:t>
      </w:r>
    </w:p>
    <w:p w:rsidR="008E3ECA" w:rsidRPr="008E3ECA" w:rsidRDefault="008E3ECA" w:rsidP="008E3ECA">
      <w:pPr>
        <w:spacing w:before="80" w:after="0" w:line="374" w:lineRule="exact"/>
        <w:ind w:firstLine="540"/>
        <w:jc w:val="both"/>
        <w:rPr>
          <w:rFonts w:ascii="Times New Roman" w:eastAsia="Arial" w:hAnsi="Times New Roman" w:cs="Times New Roman"/>
          <w:sz w:val="28"/>
          <w:szCs w:val="28"/>
          <w:lang w:val="nl-NL"/>
        </w:rPr>
      </w:pPr>
      <w:r w:rsidRPr="008E3ECA">
        <w:rPr>
          <w:rFonts w:ascii="Times New Roman" w:eastAsia="Times New Roman" w:hAnsi="Times New Roman" w:cs="Times New Roman"/>
          <w:sz w:val="28"/>
          <w:szCs w:val="28"/>
          <w:lang w:val="nl-NL"/>
        </w:rPr>
        <w:t xml:space="preserve">- Cơ quan hoặc người có thẩm quyền được uỷ quyền hoặc phân cấp thực hiện (nếu có): </w:t>
      </w:r>
      <w:r w:rsidRPr="008E3ECA">
        <w:rPr>
          <w:rFonts w:ascii="Times New Roman" w:eastAsia="Times New Roman" w:hAnsi="Times New Roman" w:cs="Times New Roman"/>
          <w:spacing w:val="-2"/>
          <w:sz w:val="28"/>
          <w:szCs w:val="28"/>
          <w:lang w:val="nl-NL"/>
        </w:rPr>
        <w:t>Không.</w:t>
      </w:r>
    </w:p>
    <w:p w:rsidR="008E3ECA" w:rsidRPr="008E3ECA" w:rsidRDefault="008E3ECA" w:rsidP="008E3ECA">
      <w:pPr>
        <w:spacing w:before="80" w:after="0" w:line="374" w:lineRule="exact"/>
        <w:ind w:firstLine="540"/>
        <w:jc w:val="both"/>
        <w:rPr>
          <w:rFonts w:ascii="Times New Roman" w:eastAsia="Calibri" w:hAnsi="Times New Roman" w:cs="Times New Roman"/>
          <w:sz w:val="28"/>
          <w:szCs w:val="28"/>
          <w:lang w:val="nl-NL"/>
        </w:rPr>
      </w:pPr>
      <w:r w:rsidRPr="008E3ECA">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Cơ quan phối hợp (nếu có): Ủy ban nhân dân cấp xã, cơ quan thuế, kho bạc.</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g) Kết quả thực hiện thủ tục hành chính</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Ghi vào sổ địa chính và lập hồ sơ để Nhà nước quản lý.  </w:t>
      </w:r>
    </w:p>
    <w:p w:rsidR="008E3ECA" w:rsidRPr="008E3ECA" w:rsidRDefault="008E3ECA" w:rsidP="008E3ECA">
      <w:pPr>
        <w:spacing w:before="80" w:after="0" w:line="374"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Giấy chứng nhận.  </w:t>
      </w:r>
    </w:p>
    <w:p w:rsidR="008E3ECA" w:rsidRPr="008E3ECA" w:rsidRDefault="008E3ECA" w:rsidP="008E3ECA">
      <w:pPr>
        <w:spacing w:before="80" w:after="0" w:line="374" w:lineRule="exact"/>
        <w:ind w:firstLine="540"/>
        <w:jc w:val="both"/>
        <w:rPr>
          <w:rFonts w:ascii="Times New Roman" w:eastAsia="Times New Roman" w:hAnsi="Times New Roman" w:cs="Times New Roman"/>
          <w:b/>
          <w:i/>
          <w:sz w:val="28"/>
          <w:szCs w:val="28"/>
          <w:lang w:val="nl-NL"/>
        </w:rPr>
      </w:pPr>
      <w:r w:rsidRPr="008E3ECA">
        <w:rPr>
          <w:rFonts w:ascii="Times New Roman" w:eastAsia="Times New Roman" w:hAnsi="Times New Roman" w:cs="Times New Roman"/>
          <w:b/>
          <w:i/>
          <w:sz w:val="28"/>
          <w:szCs w:val="28"/>
          <w:lang w:val="nl-NL"/>
        </w:rPr>
        <w:t xml:space="preserve">h) Lệ phí </w:t>
      </w:r>
    </w:p>
    <w:p w:rsidR="008E3ECA" w:rsidRPr="008E3ECA" w:rsidRDefault="008E3ECA" w:rsidP="008E3ECA">
      <w:pPr>
        <w:spacing w:before="120" w:after="0" w:line="360" w:lineRule="exact"/>
        <w:ind w:firstLine="540"/>
        <w:jc w:val="both"/>
        <w:rPr>
          <w:rFonts w:ascii="Times New Roman" w:eastAsia="Times New Roman" w:hAnsi="Times New Roman" w:cs="Times New Roman"/>
          <w:b/>
          <w:i/>
          <w:color w:val="FF0000"/>
          <w:sz w:val="28"/>
          <w:szCs w:val="28"/>
          <w:lang w:val="nl-NL"/>
        </w:rPr>
      </w:pPr>
      <w:r w:rsidRPr="008E3ECA">
        <w:rPr>
          <w:rFonts w:ascii="Times New Roman" w:eastAsia="Times New Roman" w:hAnsi="Times New Roman" w:cs="Times New Roman"/>
          <w:i/>
          <w:color w:val="FF0000"/>
          <w:sz w:val="28"/>
          <w:szCs w:val="28"/>
          <w:lang w:val="nl-NL"/>
        </w:rPr>
        <w:lastRenderedPageBreak/>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Tổ chức:</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Cấp đổi Giấy chứng nhận: Bằng 10% mức lệ phí cấp mới.</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Chứng nhận đăng ký biến động đất đai: 40 000,0đồng/lần.</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8E3ECA">
        <w:rPr>
          <w:rFonts w:ascii="Times New Roman" w:eastAsia="Times New Roman" w:hAnsi="Times New Roman" w:cs="Times New Roman"/>
          <w:i/>
          <w:color w:val="FF0000"/>
          <w:sz w:val="28"/>
          <w:szCs w:val="28"/>
          <w:lang w:val="nl-NL"/>
        </w:rPr>
        <w:t xml:space="preserve">- </w:t>
      </w:r>
      <w:r w:rsidRPr="008E3ECA">
        <w:rPr>
          <w:rFonts w:ascii="Times New Roman" w:eastAsia="Times New Roman" w:hAnsi="Times New Roman" w:cs="Times New Roman"/>
          <w:i/>
          <w:color w:val="FF0000"/>
          <w:spacing w:val="-6"/>
          <w:sz w:val="28"/>
          <w:szCs w:val="28"/>
          <w:lang w:val="nl-NL"/>
        </w:rPr>
        <w:t>Trích lục bản đồ địa chính: 40 000,0đồng/giấy.</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Hộ gia đình cá nhân:</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Cấp đổi Giấy chứng nhận: Bằng 50% mức lệ phí cấp mới.</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Chứng nhận đăng ký biến động đất đai</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Tại các phường: 30 000,0đồng/giấy;</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Tại các khu vực còn lại: 15 000,0đồng/giấy.</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8E3ECA">
        <w:rPr>
          <w:rFonts w:ascii="Times New Roman" w:eastAsia="Times New Roman" w:hAnsi="Times New Roman" w:cs="Times New Roman"/>
          <w:i/>
          <w:color w:val="FF0000"/>
          <w:sz w:val="28"/>
          <w:szCs w:val="28"/>
          <w:lang w:val="nl-NL"/>
        </w:rPr>
        <w:t xml:space="preserve">- </w:t>
      </w:r>
      <w:r w:rsidRPr="008E3ECA">
        <w:rPr>
          <w:rFonts w:ascii="Times New Roman" w:eastAsia="Times New Roman" w:hAnsi="Times New Roman" w:cs="Times New Roman"/>
          <w:i/>
          <w:color w:val="FF0000"/>
          <w:spacing w:val="-6"/>
          <w:sz w:val="28"/>
          <w:szCs w:val="28"/>
          <w:lang w:val="nl-NL"/>
        </w:rPr>
        <w:t>Trích lục bản đồ địa chính:</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Tại các phường: 20 000,0đồng/giấy;</w:t>
      </w:r>
    </w:p>
    <w:p w:rsidR="008E3ECA" w:rsidRPr="008E3ECA" w:rsidRDefault="008E3ECA" w:rsidP="008E3ECA">
      <w:pPr>
        <w:spacing w:before="120" w:after="0" w:line="360" w:lineRule="exact"/>
        <w:ind w:firstLine="540"/>
        <w:jc w:val="both"/>
        <w:rPr>
          <w:rFonts w:ascii="Times New Roman" w:eastAsia="Times New Roman" w:hAnsi="Times New Roman" w:cs="Times New Roman"/>
          <w:i/>
          <w:color w:val="FF0000"/>
          <w:sz w:val="28"/>
          <w:szCs w:val="28"/>
          <w:lang w:val="nl-NL"/>
        </w:rPr>
      </w:pPr>
      <w:r w:rsidRPr="008E3ECA">
        <w:rPr>
          <w:rFonts w:ascii="Times New Roman" w:eastAsia="Times New Roman" w:hAnsi="Times New Roman" w:cs="Times New Roman"/>
          <w:i/>
          <w:color w:val="FF0000"/>
          <w:sz w:val="28"/>
          <w:szCs w:val="28"/>
          <w:lang w:val="nl-NL"/>
        </w:rPr>
        <w:t>+ Tại các khu vực còn lại: 10 000,0đồng/giấy.</w:t>
      </w:r>
    </w:p>
    <w:p w:rsidR="008E3ECA" w:rsidRPr="008E3ECA" w:rsidRDefault="008E3ECA" w:rsidP="008E3ECA">
      <w:pPr>
        <w:spacing w:before="80" w:after="0" w:line="320" w:lineRule="exact"/>
        <w:ind w:firstLine="540"/>
        <w:jc w:val="both"/>
        <w:rPr>
          <w:rFonts w:ascii="Times New Roman" w:eastAsia="Times New Roman" w:hAnsi="Times New Roman" w:cs="Times New Roman"/>
          <w:b/>
          <w:i/>
          <w:spacing w:val="-6"/>
          <w:sz w:val="28"/>
          <w:szCs w:val="28"/>
          <w:lang w:val="nl-NL"/>
        </w:rPr>
      </w:pP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eastAsia="zh-CN"/>
        </w:rPr>
      </w:pPr>
      <w:r w:rsidRPr="008E3ECA">
        <w:rPr>
          <w:rFonts w:ascii="Times New Roman" w:eastAsia="Times New Roman" w:hAnsi="Times New Roman" w:cs="Times New Roman"/>
          <w:b/>
          <w:spacing w:val="-6"/>
          <w:sz w:val="28"/>
          <w:szCs w:val="28"/>
          <w:lang w:val="nl-NL"/>
        </w:rPr>
        <w:t xml:space="preserve">i) Tên mẫu đơn, mẫu tờ khai : </w:t>
      </w:r>
      <w:r w:rsidRPr="008E3ECA">
        <w:rPr>
          <w:rFonts w:ascii="Times New Roman" w:eastAsia="Times New Roman" w:hAnsi="Times New Roman" w:cs="Times New Roman"/>
          <w:sz w:val="28"/>
          <w:szCs w:val="28"/>
          <w:lang w:val="nl-NL"/>
        </w:rPr>
        <w:t>Không</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k) Yêu cầu, điều kiện thực hiện thủ tục hành chính (nếu có)</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(2) Đất không có tranh chấp.</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(3) Quyền sử dụng đất không bị kê biên để bảo đảm thi hành án.</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(4) Trong thời hạn sử dụng đất.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(5) Ngoài các điều kiện nêu tại các điểm 1, 2, 3 và 4 trên đây, còn phải đủ điều kiện sau:</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Cs/>
          <w:sz w:val="28"/>
          <w:szCs w:val="28"/>
          <w:lang w:val="nl-NL"/>
        </w:rPr>
        <w:lastRenderedPageBreak/>
        <w:t>(5.1) Điều kiện bán, mua tài sản gắn liền với đất được Nhà nước cho thuê thu tiền thuê đất hàng năm</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8E3ECA" w:rsidRPr="008E3ECA" w:rsidRDefault="008E3ECA" w:rsidP="008E3ECA">
      <w:pPr>
        <w:spacing w:before="80" w:after="0" w:line="320" w:lineRule="exact"/>
        <w:ind w:firstLine="540"/>
        <w:jc w:val="both"/>
        <w:rPr>
          <w:rFonts w:ascii="Times New Roman" w:eastAsia="Times New Roman" w:hAnsi="Times New Roman" w:cs="Times New Roman"/>
          <w:spacing w:val="-4"/>
          <w:sz w:val="28"/>
          <w:szCs w:val="28"/>
          <w:lang w:val="nl-NL"/>
        </w:rPr>
      </w:pPr>
      <w:r w:rsidRPr="008E3ECA">
        <w:rPr>
          <w:rFonts w:ascii="Times New Roman" w:eastAsia="Times New Roman" w:hAnsi="Times New Roman" w:cs="Times New Roman"/>
          <w:spacing w:val="-4"/>
          <w:sz w:val="28"/>
          <w:szCs w:val="28"/>
          <w:lang w:val="nl-NL"/>
        </w:rPr>
        <w:t>+ Tài sản gắn liền với đất thuê được tạo lập hợp pháp theo quy định của pháp luật;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Đã hoàn thành việc xây dựng theo đúng quy hoạch xây dựng chi tiết và dự án đầu tư đã được phê duyệt, chấp thuận.</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Người mua tài sản gắn liền với đất thuê phải bảo đảm các điều kiện sau đây:</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Có năng lực tài chính để thực hiện dự án đầu tư;</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Có ngành nghề kinh doanh phù hợp với dự án đầu tư;</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Không vi phạm quy định của pháp luật về đất đai đối với trường hợp đã được Nhà nước giao đất, cho thuê đất để thực hiện dự án trước đó.</w:t>
      </w:r>
    </w:p>
    <w:p w:rsidR="008E3ECA" w:rsidRPr="008E3ECA" w:rsidRDefault="008E3ECA" w:rsidP="008E3ECA">
      <w:pPr>
        <w:spacing w:before="80" w:after="0" w:line="320" w:lineRule="exact"/>
        <w:ind w:firstLine="540"/>
        <w:jc w:val="both"/>
        <w:rPr>
          <w:rFonts w:ascii="Times New Roman" w:eastAsia="Times New Roman" w:hAnsi="Times New Roman" w:cs="Times New Roman"/>
          <w:spacing w:val="-4"/>
          <w:sz w:val="28"/>
          <w:szCs w:val="28"/>
          <w:lang w:val="nl-NL"/>
        </w:rPr>
      </w:pPr>
      <w:r w:rsidRPr="008E3ECA">
        <w:rPr>
          <w:rFonts w:ascii="Times New Roman" w:eastAsia="Times New Roman" w:hAnsi="Times New Roman" w:cs="Times New Roman"/>
          <w:spacing w:val="-4"/>
          <w:sz w:val="28"/>
          <w:szCs w:val="28"/>
          <w:lang w:val="nl-NL"/>
        </w:rPr>
        <w:t>- Người mua tài sản được Nhà nước tiếp tục cho thuê đất trong thời hạn sử dụng đất còn lại theo giá đất cụ thể, sử dụng đất đúng mục đích đã được xác định trong dự án.</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(5.2) Điều kiện nhận chuyển nhượng, nhận tặng cho quyền sử dụng đất: </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Hộ gia đình, cá nhân không trực tiếp sản xuất nông nghiệp không được nhận chuyển nhượng, nhận tặng cho quyền sử dụng đất trồng lúa.</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(5.3) Điều kiện hộ gia đình, cá nhân chuyển nhượng, tặng cho quyền sử dụng đất: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Hộ gia đình, cá nhân đang sinh sống xen kẽ trong phân khu bảo vệ nghiêm ngặt, phân khu phục hồi sinh thái thuộc rừng đặc dụng nhưng chưa có điều kiện </w:t>
      </w:r>
      <w:r w:rsidRPr="008E3ECA">
        <w:rPr>
          <w:rFonts w:ascii="Times New Roman" w:eastAsia="Times New Roman" w:hAnsi="Times New Roman" w:cs="Times New Roman"/>
          <w:sz w:val="28"/>
          <w:szCs w:val="28"/>
          <w:lang w:val="nl-NL"/>
        </w:rPr>
        <w:lastRenderedPageBreak/>
        <w:t>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Cs/>
          <w:sz w:val="28"/>
          <w:szCs w:val="28"/>
          <w:lang w:val="nl-NL"/>
        </w:rPr>
        <w:t xml:space="preserve">(5.4) </w:t>
      </w:r>
      <w:r w:rsidRPr="008E3ECA">
        <w:rPr>
          <w:rFonts w:ascii="Times New Roman" w:eastAsia="Times New Roman" w:hAnsi="Times New Roman" w:cs="Times New Roman"/>
          <w:sz w:val="28"/>
          <w:szCs w:val="28"/>
          <w:lang w:val="nl-NL"/>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Có văn bản chấp thuận của cơ quan nhà nước có thẩm quyền đối với tổ chức kinh tế nhận chuyển nhượng, nhận góp vốn, thuê quyền sử dụng đất nông nghiệp để thực hiện dự án;</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Cs/>
          <w:sz w:val="28"/>
          <w:szCs w:val="28"/>
          <w:lang w:val="nl-NL"/>
        </w:rPr>
        <w:t>(5.5) Điều kiện chuyển nhượng quyền sử dụng đất trong thực hiện dự án đầu tư xây dựng kinh doanh nhà ở; dự án đầu tư xây dựng kết cấu hạ tầng để chuyển nhượng hoặc cho thuê.</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Việc chuyển nhượng quyền sử dụng đất trong dự án đầu tư xây dựng kinh doanh nhà ở:</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w:t>
      </w:r>
    </w:p>
    <w:p w:rsidR="008E3ECA" w:rsidRPr="008E3ECA" w:rsidRDefault="008E3ECA" w:rsidP="008E3ECA">
      <w:pPr>
        <w:widowControl w:val="0"/>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Phù hợp với kế hoạch sử dụng đất hàng năm của cấp huyện;</w:t>
      </w:r>
    </w:p>
    <w:p w:rsidR="008E3ECA" w:rsidRPr="008E3ECA" w:rsidRDefault="008E3ECA" w:rsidP="008E3ECA">
      <w:pPr>
        <w:widowControl w:val="0"/>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w:t>
      </w:r>
      <w:r w:rsidRPr="008E3ECA">
        <w:rPr>
          <w:rFonts w:ascii="Times New Roman" w:eastAsia="Times New Roman" w:hAnsi="Times New Roman" w:cs="Times New Roman"/>
          <w:sz w:val="28"/>
          <w:szCs w:val="28"/>
          <w:lang w:val="nl-NL"/>
        </w:rPr>
        <w:lastRenderedPageBreak/>
        <w:t>cho người dân tự xây dựng nhà ở; đảm bảo cung cấp các dịch vụ thiết yếu gồm cấp điện, cấp nước, thoát nước, thu gom rác thải;</w:t>
      </w:r>
    </w:p>
    <w:p w:rsidR="008E3ECA" w:rsidRPr="008E3ECA" w:rsidRDefault="008E3ECA" w:rsidP="008E3ECA">
      <w:pPr>
        <w:widowControl w:val="0"/>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Chủ đầu tư phải hoàn thành nghĩa vụ tài chính liên quan đến đất đai của dự án gồm tiền sử dụng đất, tiền thuê đất; thuế, phí, lệ phí liên quan đến đất đai (nếu có);</w:t>
      </w:r>
    </w:p>
    <w:p w:rsidR="008E3ECA" w:rsidRPr="008E3ECA" w:rsidRDefault="008E3ECA" w:rsidP="008E3ECA">
      <w:pPr>
        <w:widowControl w:val="0"/>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8E3ECA" w:rsidRPr="008E3ECA" w:rsidRDefault="008E3ECA" w:rsidP="008E3ECA">
      <w:pPr>
        <w:widowControl w:val="0"/>
        <w:tabs>
          <w:tab w:val="left" w:pos="935"/>
        </w:tabs>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rsidR="008E3ECA" w:rsidRPr="008E3ECA" w:rsidRDefault="008E3ECA" w:rsidP="008E3ECA">
      <w:pPr>
        <w:widowControl w:val="0"/>
        <w:tabs>
          <w:tab w:val="left" w:pos="567"/>
        </w:tabs>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rsidR="008E3ECA" w:rsidRPr="008E3ECA" w:rsidRDefault="008E3ECA" w:rsidP="008E3ECA">
      <w:pPr>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Có năng lực tài chính để bảo đảm việc sử dụng đất theo tiến độ của dự án đầu tư. Cụ thể: </w:t>
      </w:r>
      <w:r w:rsidRPr="008E3ECA">
        <w:rPr>
          <w:rFonts w:ascii="Times New Roman" w:eastAsia="Times New Roman" w:hAnsi="Times New Roman" w:cs="Times New Roman"/>
          <w:spacing w:val="-8"/>
          <w:sz w:val="28"/>
          <w:szCs w:val="28"/>
          <w:lang w:val="nl-NL"/>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sidRPr="008E3ECA">
        <w:rPr>
          <w:rFonts w:ascii="Times New Roman" w:eastAsia="Times New Roman" w:hAnsi="Times New Roman" w:cs="Times New Roman"/>
          <w:sz w:val="28"/>
          <w:szCs w:val="28"/>
          <w:lang w:val="nl-NL"/>
        </w:rPr>
        <w:t>ó khả năng huy động vốn để thực hiện dự án từ các tổ chức tín dụng, chi nhánh ngân hàng nước ngoài và các tổ chức, cá nhân khác.</w:t>
      </w:r>
    </w:p>
    <w:p w:rsidR="008E3ECA" w:rsidRPr="008E3ECA" w:rsidRDefault="008E3ECA" w:rsidP="008E3ECA">
      <w:pPr>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Ký quỹ theo quy định của pháp luật về đầu tư;</w:t>
      </w:r>
    </w:p>
    <w:p w:rsidR="008E3ECA" w:rsidRPr="008E3ECA" w:rsidRDefault="008E3ECA" w:rsidP="008E3ECA">
      <w:pPr>
        <w:spacing w:before="80" w:after="0" w:line="320" w:lineRule="exact"/>
        <w:ind w:firstLine="72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Không vi phạm quy định của pháp luật về đất đai đối với trường hợp đang sử dụng đất do Nhà nước giao đất, cho thuê đất để thực hiện dự án đầu tư khác.</w:t>
      </w:r>
    </w:p>
    <w:p w:rsidR="008E3ECA" w:rsidRPr="008E3ECA" w:rsidRDefault="008E3ECA" w:rsidP="008E3ECA">
      <w:pPr>
        <w:widowControl w:val="0"/>
        <w:spacing w:before="80" w:after="0" w:line="320" w:lineRule="exact"/>
        <w:ind w:firstLine="720"/>
        <w:jc w:val="both"/>
        <w:rPr>
          <w:rFonts w:ascii="Times New Roman" w:eastAsia="Times New Roman" w:hAnsi="Times New Roman" w:cs="Times New Roman"/>
          <w:spacing w:val="-6"/>
          <w:sz w:val="28"/>
          <w:szCs w:val="28"/>
          <w:lang w:val="nl-NL"/>
        </w:rPr>
      </w:pPr>
      <w:r w:rsidRPr="008E3ECA">
        <w:rPr>
          <w:rFonts w:ascii="Times New Roman" w:eastAsia="Times New Roman" w:hAnsi="Times New Roman" w:cs="Times New Roman"/>
          <w:sz w:val="28"/>
          <w:szCs w:val="28"/>
          <w:lang w:val="nl-NL"/>
        </w:rPr>
        <w:t xml:space="preserve">+ </w:t>
      </w:r>
      <w:r w:rsidRPr="008E3ECA">
        <w:rPr>
          <w:rFonts w:ascii="Times New Roman" w:eastAsia="Times New Roman" w:hAnsi="Times New Roman" w:cs="Times New Roman"/>
          <w:spacing w:val="-6"/>
          <w:sz w:val="28"/>
          <w:szCs w:val="28"/>
          <w:lang w:val="nl-NL"/>
        </w:rPr>
        <w:t>Dự án sản xuất, kinh doanh không sử dụng vốn từ ngân sách nhà nước.</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8E3ECA" w:rsidRPr="008E3ECA" w:rsidRDefault="008E3ECA" w:rsidP="008E3ECA">
      <w:pPr>
        <w:widowControl w:val="0"/>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(5.7) Tổ chức kinh tế nhận góp vốn bằng quyền sử dụng đất của hộ gia đình, cá nhân, tổ chức kinh tế khác trong các trường hợp sau đây:</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lastRenderedPageBreak/>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8E3ECA" w:rsidRPr="008E3ECA" w:rsidRDefault="008E3ECA" w:rsidP="008E3ECA">
      <w:pPr>
        <w:spacing w:before="80" w:after="0" w:line="320" w:lineRule="exact"/>
        <w:ind w:firstLine="539"/>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Đất của hộ gia đình, cá nhân góp vốn mà không phải là đất được Nhà nước cho thuê trả tiền thuê đất hàng năm.</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b/>
          <w:sz w:val="28"/>
          <w:szCs w:val="28"/>
          <w:lang w:val="nl-NL"/>
        </w:rPr>
        <w:t>l) Căn cứ pháp lý của thủ tục hành chính</w:t>
      </w:r>
      <w:r w:rsidRPr="008E3ECA">
        <w:rPr>
          <w:rFonts w:ascii="Times New Roman" w:eastAsia="Times New Roman" w:hAnsi="Times New Roman" w:cs="Times New Roman"/>
          <w:sz w:val="28"/>
          <w:szCs w:val="28"/>
          <w:lang w:val="nl-NL"/>
        </w:rPr>
        <w:t>:</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Luật Đất đai năm 2013 ngày 29/11/2013; </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8E3ECA" w:rsidRPr="008E3ECA" w:rsidRDefault="008E3ECA" w:rsidP="008E3ECA">
      <w:pPr>
        <w:spacing w:before="80" w:after="0" w:line="320" w:lineRule="exact"/>
        <w:ind w:firstLine="540"/>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8E3ECA" w:rsidRPr="008E3ECA" w:rsidRDefault="008E3ECA" w:rsidP="008E3ECA">
      <w:pPr>
        <w:spacing w:before="120" w:after="0" w:line="240" w:lineRule="auto"/>
        <w:ind w:firstLine="547"/>
        <w:jc w:val="both"/>
        <w:rPr>
          <w:rFonts w:ascii="Times New Roman" w:eastAsia="Times New Roman" w:hAnsi="Times New Roman" w:cs="Times New Roman"/>
          <w:sz w:val="28"/>
          <w:szCs w:val="28"/>
          <w:lang w:val="nl-NL"/>
        </w:rPr>
      </w:pPr>
      <w:r w:rsidRPr="008E3ECA">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8E3ECA" w:rsidRPr="008E3ECA" w:rsidRDefault="008E3ECA" w:rsidP="008E3ECA">
      <w:pPr>
        <w:spacing w:before="120" w:after="0" w:line="240" w:lineRule="auto"/>
        <w:ind w:firstLine="547"/>
        <w:jc w:val="both"/>
        <w:rPr>
          <w:rFonts w:ascii="Times New Roman" w:eastAsia="Times New Roman" w:hAnsi="Times New Roman" w:cs="Times New Roman"/>
          <w:sz w:val="28"/>
          <w:szCs w:val="28"/>
        </w:rPr>
      </w:pPr>
      <w:r w:rsidRPr="008E3ECA">
        <w:rPr>
          <w:rFonts w:ascii="Times New Roman" w:eastAsia="Times New Roman" w:hAnsi="Times New Roman" w:cs="Times New Roman"/>
          <w:i/>
          <w:color w:val="FF0000"/>
          <w:sz w:val="28"/>
          <w:szCs w:val="28"/>
          <w:lang w:val="nl-NL"/>
        </w:rPr>
        <w:t xml:space="preserve">- </w:t>
      </w:r>
      <w:r w:rsidRPr="008E3ECA">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8E3ECA">
        <w:rPr>
          <w:rFonts w:ascii="Times New Roman" w:eastAsia="Times New Roman" w:hAnsi="Times New Roman" w:cs="Times New Roman"/>
          <w:sz w:val="28"/>
          <w:szCs w:val="28"/>
        </w:rPr>
        <w:t xml:space="preserve"> </w:t>
      </w:r>
      <w:r w:rsidRPr="008E3ECA">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8E3ECA" w:rsidRPr="008E3ECA" w:rsidRDefault="008E3ECA" w:rsidP="008E3ECA">
      <w:pPr>
        <w:spacing w:before="120" w:after="0" w:line="240" w:lineRule="auto"/>
        <w:rPr>
          <w:rFonts w:ascii="Times New Roman" w:eastAsia="Times New Roman" w:hAnsi="Times New Roman" w:cs="Times New Roman"/>
          <w:sz w:val="28"/>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spacing w:before="120" w:after="0" w:line="240" w:lineRule="auto"/>
        <w:rPr>
          <w:rFonts w:ascii="Times New Roman" w:eastAsia="Times New Roman" w:hAnsi="Times New Roman" w:cs="Times New Roman"/>
          <w:sz w:val="26"/>
          <w:szCs w:val="28"/>
          <w:lang w:val="nl-NL"/>
        </w:rPr>
      </w:pPr>
    </w:p>
    <w:p w:rsidR="008E3ECA" w:rsidRPr="008E3ECA" w:rsidRDefault="008E3ECA" w:rsidP="008E3ECA">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8E3ECA">
        <w:rPr>
          <w:rFonts w:ascii="Times New Roman" w:eastAsia="Times New Roman" w:hAnsi="Times New Roman" w:cs="Times New Roman"/>
          <w:i/>
          <w:iCs/>
          <w:color w:val="FF0000"/>
          <w:sz w:val="28"/>
          <w:szCs w:val="28"/>
          <w:lang w:val="nl-NL"/>
        </w:rPr>
        <w:lastRenderedPageBreak/>
        <w:t>(Nội dung in nghiêng là phần sửa đổi, bổ sung/thay thế)</w:t>
      </w:r>
    </w:p>
    <w:p w:rsidR="00A562FF" w:rsidRDefault="00A562FF"/>
    <w:sectPr w:rsidR="00A56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E3ECA"/>
    <w:rsid w:val="008E3ECA"/>
    <w:rsid w:val="00A5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2721</Words>
  <Characters>15516</Characters>
  <Application>Microsoft Office Word</Application>
  <DocSecurity>0</DocSecurity>
  <Lines>129</Lines>
  <Paragraphs>36</Paragraphs>
  <ScaleCrop>false</ScaleCrop>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2017-10-16T09:40:00Z</dcterms:created>
  <dcterms:modified xsi:type="dcterms:W3CDTF">2017-10-16T09:40:00Z</dcterms:modified>
</cp:coreProperties>
</file>